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color w:val="FFFFFF"/>
          <w:sz w:val="30"/>
          <w:szCs w:val="30"/>
          <w:shd w:val="clear" w:color="auto" w:fill="FF0000"/>
        </w:rPr>
      </w:pPr>
      <w:bookmarkStart w:id="0" w:name="_GoBack"/>
      <w:bookmarkEnd w:id="0"/>
      <w:r>
        <w:rPr>
          <w:rStyle w:val="7"/>
          <w:color w:val="FFFFFF"/>
          <w:sz w:val="30"/>
          <w:szCs w:val="30"/>
          <w:shd w:val="clear" w:color="auto" w:fill="FF0000"/>
        </w:rPr>
        <w:t>化学品保存的一般原则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1.</w:t>
      </w:r>
      <w:r>
        <w:t>所有化学品和配制试剂都应贴有明显标签，杜绝标签丢失、新旧标签共存、标签信息不全或不清等混乱现象。配制的试剂、反应产物等应有名称、浓度或纯度、责任人、日期等信息。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2.</w:t>
      </w:r>
      <w:r>
        <w:t>存放化学品的场所必须整洁、通风、隔热、安全、远离热源和火源。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3.</w:t>
      </w:r>
      <w:r>
        <w:t>实验室不得存放大桶试剂和大量试剂，严禁存放大量的易燃易爆品及强氧化剂</w:t>
      </w:r>
      <w:r>
        <w:rPr>
          <w:rFonts w:hint="eastAsia"/>
        </w:rPr>
        <w:t>(一般危险化学品总量不超过100升或100公斤，易燃易爆化学品不超过50升或50公斤)</w:t>
      </w:r>
      <w:r>
        <w:t>；化学品应密封、分类、合理存放，切勿将不相容的、相互作用会发生剧烈反应的化学品混放。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4.</w:t>
      </w:r>
      <w:r>
        <w:t>实验室需建立并及时更新化学品台帐，及时清理废旧化学品。</w:t>
      </w:r>
    </w:p>
    <w:p>
      <w:pPr>
        <w:pStyle w:val="4"/>
        <w:spacing w:before="0" w:beforeAutospacing="0" w:afterLines="100" w:afterAutospacing="0" w:line="360" w:lineRule="exact"/>
        <w:rPr>
          <w:b/>
          <w:color w:val="FF0000"/>
        </w:rPr>
      </w:pPr>
      <w:r>
        <w:rPr>
          <w:rStyle w:val="7"/>
          <w:color w:val="FF0000"/>
        </w:rPr>
        <w:t>5</w:t>
      </w:r>
      <w:r>
        <w:rPr>
          <w:rStyle w:val="7"/>
          <w:b w:val="0"/>
          <w:color w:val="FF0000"/>
        </w:rPr>
        <w:t>.</w:t>
      </w:r>
      <w:r>
        <w:rPr>
          <w:b/>
          <w:color w:val="FF0000"/>
        </w:rPr>
        <w:t>管制类化学品需上锁保管并做好使用登记。</w:t>
      </w:r>
    </w:p>
    <w:p>
      <w:pPr>
        <w:pStyle w:val="4"/>
        <w:spacing w:before="0" w:beforeAutospacing="0" w:after="0" w:afterAutospacing="0" w:line="360" w:lineRule="exact"/>
        <w:jc w:val="center"/>
        <w:rPr>
          <w:color w:val="FFFFFF"/>
          <w:sz w:val="30"/>
          <w:szCs w:val="30"/>
          <w:shd w:val="clear" w:color="auto" w:fill="FF0000"/>
        </w:rPr>
      </w:pPr>
      <w:r>
        <w:rPr>
          <w:rStyle w:val="7"/>
          <w:color w:val="FFFFFF"/>
          <w:sz w:val="30"/>
          <w:szCs w:val="30"/>
          <w:shd w:val="clear" w:color="auto" w:fill="FF0000"/>
        </w:rPr>
        <w:t>管制类化学品按大类分柜存放</w:t>
      </w:r>
    </w:p>
    <w:p>
      <w:pPr>
        <w:pStyle w:val="4"/>
        <w:spacing w:before="0" w:beforeAutospacing="0" w:after="0" w:afterAutospacing="0" w:line="360" w:lineRule="exact"/>
        <w:jc w:val="center"/>
      </w:pPr>
      <w:r>
        <w:rPr>
          <w:rStyle w:val="7"/>
        </w:rPr>
        <w:t>第一类   酸、腐蚀品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管制类别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1.易制毒品：</w:t>
      </w:r>
      <w:r>
        <w:t>盐酸、硫酸、苯乙酸、醋酸酐、溴素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2.易制爆品：</w:t>
      </w:r>
      <w:r>
        <w:t>硝酸、发烟硝酸、高氯酸、过（氧）乙酸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存放要求：</w:t>
      </w:r>
      <w:r>
        <w:t>有防泄露托盘，有通风</w:t>
      </w:r>
    </w:p>
    <w:p>
      <w:pPr>
        <w:pStyle w:val="4"/>
        <w:spacing w:before="0" w:beforeAutospacing="0" w:after="0" w:afterAutospacing="0" w:line="360" w:lineRule="exact"/>
        <w:jc w:val="center"/>
      </w:pPr>
    </w:p>
    <w:p>
      <w:pPr>
        <w:pStyle w:val="4"/>
        <w:spacing w:before="0" w:beforeAutospacing="0" w:after="0" w:afterAutospacing="0" w:line="360" w:lineRule="exact"/>
        <w:jc w:val="center"/>
      </w:pPr>
      <w:r>
        <w:rPr>
          <w:rStyle w:val="7"/>
        </w:rPr>
        <w:t>第二类   氧化剂、无机盐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管制类别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1.易制毒品：</w:t>
      </w:r>
      <w:r>
        <w:t>高锰酸钾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2.易制爆品：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硝酸盐类：</w:t>
      </w:r>
      <w:r>
        <w:t>硝酸钠、硝酸钾、硝酸铯、硝酸镁、硝酸钙、硝酸锶、硝酸钡、硝酸镍、硝酸银、硝酸锌、硝酸铅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氯酸盐类：</w:t>
      </w:r>
      <w:r>
        <w:t>氯酸钠（含溶液）、氯酸钾（含溶液）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高（过）氯酸盐类：</w:t>
      </w:r>
      <w:r>
        <w:t>高（过）氯酸锂、高（过）氯酸钠、高（过）氯酸钾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重铬酸盐类：</w:t>
      </w:r>
      <w:r>
        <w:t>重铬酸锂、重铬酸钠、重铬酸钾、重铬酸铵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高锰酸盐类：</w:t>
      </w:r>
      <w:r>
        <w:t>高锰酸钾、高锰酸钠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无机过氧化物类：</w:t>
      </w:r>
      <w:r>
        <w:t>过氧化氢溶液、过氧化锂、过氧化钠、过氧化钾、过氧化镁、过氧化钙、过氧化锶、过氧化钡、过氧化锌、超氧化钠、超氧化钾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有机物类：</w:t>
      </w:r>
      <w:r>
        <w:t>过氧化二异丙苯、过氧化氢苯甲酰、过氧化脲、硝酸胍</w:t>
      </w:r>
    </w:p>
    <w:p>
      <w:pPr>
        <w:pStyle w:val="4"/>
        <w:spacing w:before="0" w:beforeAutospacing="0" w:after="0" w:afterAutospacing="0" w:line="360" w:lineRule="exact"/>
      </w:pPr>
    </w:p>
    <w:p>
      <w:pPr>
        <w:pStyle w:val="4"/>
        <w:spacing w:before="0" w:beforeAutospacing="0" w:after="0" w:afterAutospacing="0" w:line="360" w:lineRule="exact"/>
        <w:jc w:val="center"/>
      </w:pPr>
      <w:r>
        <w:rPr>
          <w:rStyle w:val="7"/>
        </w:rPr>
        <w:t>第三类   有机试剂、还原剂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管制类别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1.易制毒品：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第二类：</w:t>
      </w:r>
      <w:r>
        <w:t>三氯甲烷、乙醚、哌啶、乙基苯基酮及前述所列物质可能存在的盐类；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第三类：</w:t>
      </w:r>
      <w:r>
        <w:t>甲苯、丙酮、甲基乙基酮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2.易制爆品：</w:t>
      </w:r>
      <w:r>
        <w:t>硝酸、发烟硝酸、高氯酸、过（氧）乙酸</w:t>
      </w:r>
    </w:p>
    <w:p>
      <w:pPr>
        <w:pStyle w:val="4"/>
        <w:numPr>
          <w:ilvl w:val="0"/>
          <w:numId w:val="3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有机液体类：</w:t>
      </w:r>
      <w:r>
        <w:t>硝基甲烷、硝基乙烷、1,2-乙二胺、一甲胺溶液、水合</w:t>
      </w:r>
    </w:p>
    <w:p>
      <w:pPr>
        <w:pStyle w:val="4"/>
        <w:numPr>
          <w:ilvl w:val="0"/>
          <w:numId w:val="3"/>
        </w:numPr>
        <w:spacing w:before="0" w:beforeAutospacing="0" w:after="0" w:afterAutospacing="0" w:line="360" w:lineRule="exact"/>
        <w:ind w:left="0"/>
      </w:pPr>
      <w:r>
        <w:rPr>
          <w:rStyle w:val="7"/>
        </w:rPr>
        <w:t>有机固体类：</w:t>
      </w:r>
      <w:r>
        <w:t>六亚甲基四胺、一甲胺、2,4-二硝基甲苯、2,6-二硝基甲苯、1，5-二硝基萘、1，8 -二硝基萘、2，4-二硝基苯酚（含水≥15%）、2,5-二硝基苯酚（含水≥15%）、2,6 -二硝基苯酚（含水≥15%）、季戊四醇（四羟甲基甲烷）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存放要求：</w:t>
      </w:r>
      <w:r>
        <w:t>有通风</w:t>
      </w:r>
    </w:p>
    <w:p>
      <w:pPr>
        <w:pStyle w:val="4"/>
        <w:spacing w:before="0" w:beforeAutospacing="0" w:after="0" w:afterAutospacing="0" w:line="360" w:lineRule="exact"/>
      </w:pPr>
    </w:p>
    <w:p>
      <w:pPr>
        <w:pStyle w:val="4"/>
        <w:spacing w:before="0" w:beforeAutospacing="0" w:after="0" w:afterAutospacing="0" w:line="360" w:lineRule="exact"/>
        <w:jc w:val="center"/>
      </w:pPr>
      <w:r>
        <w:rPr>
          <w:rStyle w:val="7"/>
        </w:rPr>
        <w:t>第四类   活泼金属等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管制类别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易制爆品（遇水爆炸或燃烧、易燃固体）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360" w:lineRule="exact"/>
        <w:ind w:left="0"/>
      </w:pPr>
      <w:r>
        <w:t>锂、钠、钾、镁、镁铝粉、铝粉、硅铝、硅铝粉、锌灰、锌粉、锌尘、锆、锆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360" w:lineRule="exact"/>
        <w:ind w:left="0"/>
      </w:pPr>
      <w:r>
        <w:t>硫磺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360" w:lineRule="exact"/>
        <w:ind w:left="0"/>
      </w:pPr>
      <w:r>
        <w:t>硼氢化锂、硼氢化钠、硼氢化钾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存放要求：</w:t>
      </w:r>
      <w:r>
        <w:t>隔水隔热隔氧</w:t>
      </w:r>
    </w:p>
    <w:p>
      <w:pPr>
        <w:pStyle w:val="4"/>
        <w:spacing w:before="0" w:beforeAutospacing="0" w:after="0" w:afterAutospacing="0" w:line="360" w:lineRule="exact"/>
      </w:pPr>
    </w:p>
    <w:p>
      <w:pPr>
        <w:pStyle w:val="4"/>
        <w:spacing w:before="0" w:beforeAutospacing="0" w:after="0" w:afterAutospacing="0" w:line="360" w:lineRule="exact"/>
        <w:jc w:val="center"/>
      </w:pPr>
      <w:r>
        <w:rPr>
          <w:rStyle w:val="7"/>
        </w:rPr>
        <w:t>第五类   爆炸品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管制类别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1. 爆炸品：</w:t>
      </w:r>
      <w:r>
        <w:t>硝酸铵、2,4,6-三硝基甲苯(TNT)、2,4,6-三硝基苯酚（苦味酸）、季戊四醇四硝酸酯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2. 易制爆品名录中的爆炸品：</w:t>
      </w:r>
      <w:r>
        <w:t>氯酸铵、高（过）氯酸铵、二硝基苯酚（溶液）、2,4-二硝基苯酚钠、硝化纤维素（硝化棉）、4,6-二硝基-2-氨基苯酚钠（苦氨酸钠）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</w:rPr>
        <w:t>存放要求：</w:t>
      </w:r>
      <w:r>
        <w:t>双人双锁</w:t>
      </w:r>
    </w:p>
    <w:p>
      <w:pPr>
        <w:pStyle w:val="4"/>
        <w:spacing w:before="0" w:beforeAutospacing="0" w:after="0" w:afterAutospacing="0" w:line="360" w:lineRule="exact"/>
      </w:pPr>
    </w:p>
    <w:p>
      <w:pPr>
        <w:pStyle w:val="4"/>
        <w:spacing w:before="0" w:beforeAutospacing="0" w:after="0" w:afterAutospacing="0" w:line="360" w:lineRule="exact"/>
        <w:rPr>
          <w:color w:val="FF0000"/>
        </w:rPr>
      </w:pPr>
      <w:r>
        <w:rPr>
          <w:rStyle w:val="7"/>
          <w:color w:val="FF0000"/>
        </w:rPr>
        <w:t>注意事项</w:t>
      </w:r>
    </w:p>
    <w:p>
      <w:pPr>
        <w:pStyle w:val="4"/>
        <w:spacing w:before="0" w:beforeAutospacing="0" w:after="0" w:afterAutospacing="0" w:line="360" w:lineRule="exact"/>
        <w:rPr>
          <w:b/>
          <w:color w:val="FF0000"/>
        </w:rPr>
      </w:pPr>
      <w:r>
        <w:rPr>
          <w:rStyle w:val="7"/>
          <w:b w:val="0"/>
          <w:color w:val="FF0000"/>
        </w:rPr>
        <w:t>1.</w:t>
      </w:r>
      <w:r>
        <w:rPr>
          <w:b/>
          <w:color w:val="FF0000"/>
        </w:rPr>
        <w:t>剧毒品、第一类易制毒品须按照双人双锁、化学禁忌分类保管，不得与上述管制品混放。</w:t>
      </w:r>
    </w:p>
    <w:p>
      <w:pPr>
        <w:pStyle w:val="4"/>
        <w:spacing w:before="0" w:beforeAutospacing="0" w:after="0" w:afterAutospacing="0" w:line="360" w:lineRule="exact"/>
        <w:rPr>
          <w:b/>
          <w:color w:val="FF0000"/>
        </w:rPr>
      </w:pPr>
      <w:r>
        <w:rPr>
          <w:rStyle w:val="7"/>
          <w:b w:val="0"/>
          <w:color w:val="FF0000"/>
        </w:rPr>
        <w:t>2.</w:t>
      </w:r>
      <w:r>
        <w:rPr>
          <w:b/>
          <w:color w:val="FF0000"/>
        </w:rPr>
        <w:t>同一类别中，固液需分开（固上液下）、有机无机需分开。</w:t>
      </w:r>
    </w:p>
    <w:p>
      <w:pPr>
        <w:pStyle w:val="4"/>
        <w:spacing w:before="0" w:beforeAutospacing="0" w:after="0" w:afterAutospacing="0" w:line="360" w:lineRule="exact"/>
        <w:rPr>
          <w:b/>
          <w:color w:val="FF0000"/>
        </w:rPr>
      </w:pPr>
      <w:r>
        <w:rPr>
          <w:rStyle w:val="7"/>
          <w:b w:val="0"/>
          <w:color w:val="FF0000"/>
        </w:rPr>
        <w:t>3.</w:t>
      </w:r>
      <w:r>
        <w:rPr>
          <w:b/>
          <w:color w:val="FF0000"/>
        </w:rPr>
        <w:t>无机盐类易制爆品同时包括无水和含有结晶水的化合物。</w:t>
      </w:r>
    </w:p>
    <w:p>
      <w:pPr>
        <w:pStyle w:val="4"/>
        <w:spacing w:before="0" w:beforeAutospacing="0" w:after="0" w:afterAutospacing="0" w:line="360" w:lineRule="exact"/>
        <w:rPr>
          <w:b/>
          <w:color w:val="FF0000"/>
        </w:rPr>
      </w:pPr>
      <w:r>
        <w:rPr>
          <w:rStyle w:val="7"/>
          <w:b w:val="0"/>
          <w:color w:val="FF0000"/>
        </w:rPr>
        <w:t>4.</w:t>
      </w:r>
      <w:r>
        <w:rPr>
          <w:b/>
          <w:color w:val="FF0000"/>
        </w:rPr>
        <w:t>溴素（易制毒品）必须水封。</w:t>
      </w:r>
    </w:p>
    <w:p>
      <w:pPr>
        <w:pStyle w:val="4"/>
        <w:spacing w:before="0" w:beforeAutospacing="0" w:after="0" w:afterAutospacing="0" w:line="360" w:lineRule="exact"/>
      </w:pPr>
      <w:r>
        <w:rPr>
          <w:rStyle w:val="7"/>
          <w:b w:val="0"/>
          <w:color w:val="FF0000"/>
        </w:rPr>
        <w:t>5.</w:t>
      </w:r>
      <w:r>
        <w:rPr>
          <w:b/>
          <w:color w:val="FF0000"/>
        </w:rPr>
        <w:t>管制类化学品未经相关部门审批，严禁购买。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E8D"/>
    <w:multiLevelType w:val="multilevel"/>
    <w:tmpl w:val="0BEC0E8D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>
    <w:nsid w:val="2D38034B"/>
    <w:multiLevelType w:val="multilevel"/>
    <w:tmpl w:val="2D38034B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>
    <w:nsid w:val="5D113183"/>
    <w:multiLevelType w:val="multilevel"/>
    <w:tmpl w:val="5D113183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>
    <w:nsid w:val="6A44056F"/>
    <w:multiLevelType w:val="multilevel"/>
    <w:tmpl w:val="6A44056F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50C"/>
    <w:rsid w:val="000027DC"/>
    <w:rsid w:val="000550E4"/>
    <w:rsid w:val="00095B9D"/>
    <w:rsid w:val="000C1DDF"/>
    <w:rsid w:val="000E318D"/>
    <w:rsid w:val="00171191"/>
    <w:rsid w:val="001825C4"/>
    <w:rsid w:val="00185A83"/>
    <w:rsid w:val="00244D3F"/>
    <w:rsid w:val="0029166A"/>
    <w:rsid w:val="002C0F75"/>
    <w:rsid w:val="0030157B"/>
    <w:rsid w:val="003803BD"/>
    <w:rsid w:val="003C62F7"/>
    <w:rsid w:val="003E47E4"/>
    <w:rsid w:val="0040510C"/>
    <w:rsid w:val="00453C51"/>
    <w:rsid w:val="004B70DE"/>
    <w:rsid w:val="00520FBE"/>
    <w:rsid w:val="0058561B"/>
    <w:rsid w:val="006A0838"/>
    <w:rsid w:val="006C6FFE"/>
    <w:rsid w:val="007132B7"/>
    <w:rsid w:val="00754605"/>
    <w:rsid w:val="007B172E"/>
    <w:rsid w:val="007D11BF"/>
    <w:rsid w:val="007F0876"/>
    <w:rsid w:val="007F49A4"/>
    <w:rsid w:val="008020A0"/>
    <w:rsid w:val="0081769A"/>
    <w:rsid w:val="00824B3F"/>
    <w:rsid w:val="008343EB"/>
    <w:rsid w:val="008654D3"/>
    <w:rsid w:val="008A5F76"/>
    <w:rsid w:val="008B7EAE"/>
    <w:rsid w:val="00906DA5"/>
    <w:rsid w:val="00913E7A"/>
    <w:rsid w:val="00921485"/>
    <w:rsid w:val="00933823"/>
    <w:rsid w:val="00955D3D"/>
    <w:rsid w:val="00960240"/>
    <w:rsid w:val="009C55AD"/>
    <w:rsid w:val="009E1AC1"/>
    <w:rsid w:val="00AA6D7F"/>
    <w:rsid w:val="00AE18CB"/>
    <w:rsid w:val="00B44B76"/>
    <w:rsid w:val="00B65848"/>
    <w:rsid w:val="00B804A6"/>
    <w:rsid w:val="00B96233"/>
    <w:rsid w:val="00BC4287"/>
    <w:rsid w:val="00BF5F7F"/>
    <w:rsid w:val="00C33792"/>
    <w:rsid w:val="00C35EC9"/>
    <w:rsid w:val="00C373D3"/>
    <w:rsid w:val="00CB250C"/>
    <w:rsid w:val="00DB1D01"/>
    <w:rsid w:val="00E959D3"/>
    <w:rsid w:val="00EF6C07"/>
    <w:rsid w:val="00F014B3"/>
    <w:rsid w:val="00FA742B"/>
    <w:rsid w:val="00FE0DBF"/>
    <w:rsid w:val="0235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iPriority w:val="0"/>
    <w:rPr>
      <w:rFonts w:cs="Times New Roman"/>
      <w:color w:val="434343"/>
      <w:u w:val="none"/>
    </w:rPr>
  </w:style>
  <w:style w:type="character" w:customStyle="1" w:styleId="9">
    <w:name w:val="页眉 Char"/>
    <w:basedOn w:val="6"/>
    <w:link w:val="3"/>
    <w:uiPriority w:val="0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1658</Characters>
  <Lines>13</Lines>
  <Paragraphs>3</Paragraphs>
  <TotalTime>20</TotalTime>
  <ScaleCrop>false</ScaleCrop>
  <LinksUpToDate>false</LinksUpToDate>
  <CharactersWithSpaces>1945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2019-02-28T02:33:00Z</dcterms:created>
  <dc:creator>熊亚琪</dc:creator>
  <cp:lastModifiedBy>Superwey</cp:lastModifiedBy>
  <dcterms:modified xsi:type="dcterms:W3CDTF">2020-11-13T02:18:41Z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